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left"/>
        <w:outlineLvl w:val="9"/>
        <w:rPr>
          <w:rFonts w:ascii="Times New Roman" w:hAnsi="Times New Roman"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 xml:space="preserve">附件一： </w:t>
      </w:r>
      <w:bookmarkStart w:id="1" w:name="_GoBack"/>
      <w:bookmarkEnd w:id="1"/>
    </w:p>
    <w:p>
      <w:pPr>
        <w:pStyle w:val="2"/>
        <w:spacing w:line="440" w:lineRule="exact"/>
        <w:outlineLvl w:val="1"/>
        <w:rPr>
          <w:rFonts w:ascii="Times New Roman" w:hAnsi="Times New Roman"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82082006"/>
      <w:r>
        <w:rPr>
          <w:rFonts w:hint="eastAsia" w:ascii="Times New Roman" w:hAnsi="Times New Roman"/>
          <w:bCs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汉语国际教育</w:t>
      </w:r>
      <w:r>
        <w:rPr>
          <w:rFonts w:hint="eastAsia" w:ascii="Times New Roman" w:hAnsi="Times New Roman"/>
          <w:bCs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专业学位硕士研究生课程设置表（国内生）</w:t>
      </w:r>
      <w:bookmarkEnd w:id="0"/>
    </w:p>
    <w:tbl>
      <w:tblPr>
        <w:tblStyle w:val="3"/>
        <w:tblpPr w:leftFromText="180" w:rightFromText="180" w:vertAnchor="text" w:horzAnchor="page" w:tblpXSpec="center" w:tblpY="105"/>
        <w:tblOverlap w:val="never"/>
        <w:tblW w:w="11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67"/>
        <w:gridCol w:w="1175"/>
        <w:gridCol w:w="2728"/>
        <w:gridCol w:w="709"/>
        <w:gridCol w:w="958"/>
        <w:gridCol w:w="708"/>
        <w:gridCol w:w="851"/>
        <w:gridCol w:w="709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类</w:t>
            </w:r>
            <w:r>
              <w:rPr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2728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程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名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称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958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每门课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开课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学期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方式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考核方式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任课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学位课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667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想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治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</w:t>
            </w:r>
          </w:p>
        </w:tc>
        <w:tc>
          <w:tcPr>
            <w:tcW w:w="117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必修</w:t>
            </w: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中国特色社会主义理论与实践研究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研究生院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限选一门</w:t>
            </w: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马克思主义与社会科学方法论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（文科）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3/18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第一外国语</w:t>
            </w:r>
          </w:p>
        </w:tc>
        <w:tc>
          <w:tcPr>
            <w:tcW w:w="2728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基础英语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3/54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外语学院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汉语作为外语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教学与文化传播类课程</w:t>
            </w: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 xml:space="preserve">汉语作为第二语言教学（一） 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任连明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16</w:t>
            </w:r>
            <w:r>
              <w:rPr>
                <w:color w:val="000000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 xml:space="preserve">汉语作为第二语言教学（二） 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李宗宏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海外汉语课堂教学案例分析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何山燕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*汉语语言要素与技能教学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4/54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李宗宏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rFonts w:eastAsia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*中华文化与传播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巴  丹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*第二语言习得与认知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彭  臻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rFonts w:eastAsia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*跨文化交际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吴小奕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人文素质培养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</w:t>
            </w: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文学与文化专题讲座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1-6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讲座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国内外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非学位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中外文化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类课程</w:t>
            </w: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*涉外法规与礼仪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巴  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≥3学分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r>
              <w:t>汉字文化学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任连明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东南亚历史与文化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黄可兴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国别与地域文化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刘春梅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交际语用学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吴术燕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教学设计与教育管理类课程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color w:val="000000"/>
                <w:szCs w:val="21"/>
              </w:rPr>
              <w:t>外语教育心理学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/3</w:t>
            </w: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刘春梅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≥</w:t>
            </w:r>
            <w:r>
              <w:rPr>
                <w:rFonts w:hint="eastAsia" w:eastAsia="仿宋" w:cs="Arial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学分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汉语教学调查与研究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何山燕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</w:tcPr>
          <w:p>
            <w:pPr>
              <w:rPr>
                <w:rFonts w:eastAsia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汉外语言对比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吴满香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</w:tcPr>
          <w:p>
            <w:pPr>
              <w:rPr>
                <w:rFonts w:eastAsia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汉语课程设计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2/30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国际教育学院教师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教学设计与管理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何山燕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汉语教材与教学资源开发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2/30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李宗宏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</w:tcPr>
          <w:p>
            <w:pPr>
              <w:rPr>
                <w:rFonts w:eastAsia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教学测试与评估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2/30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国际教育学院教师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国外中小学教育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教科院教师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技能训练类课程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中华文化才艺与展示（一）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   翾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≥</w:t>
            </w:r>
            <w:r>
              <w:rPr>
                <w:rFonts w:hint="eastAsia" w:eastAsia="仿宋" w:cs="Arial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学分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rFonts w:eastAsia="仿宋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中华文化才艺与展示（二）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   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李达旭等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语言文化调查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吴满香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实用文书写作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李大西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现代教育技术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韦远诚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泰语（一）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东语学院教师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泰语（二）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东语学院教师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泰语（三）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东语学院教师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辅修类课程</w:t>
            </w: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语言学概论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与文学院本科生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一起学习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同等学力或跨学科人员必修科目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现代汉语 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同等学力或跨学科人员必修科目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实践环节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专业课外实践</w:t>
            </w:r>
          </w:p>
        </w:tc>
        <w:tc>
          <w:tcPr>
            <w:tcW w:w="2728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1-6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教学见习与实习</w:t>
            </w:r>
          </w:p>
        </w:tc>
        <w:tc>
          <w:tcPr>
            <w:tcW w:w="2728" w:type="dxa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2-4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学位论文</w:t>
            </w:r>
          </w:p>
        </w:tc>
        <w:tc>
          <w:tcPr>
            <w:tcW w:w="272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4-6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注意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事项</w:t>
            </w:r>
          </w:p>
        </w:tc>
        <w:tc>
          <w:tcPr>
            <w:tcW w:w="10631" w:type="dxa"/>
            <w:gridSpan w:val="10"/>
            <w:vAlign w:val="center"/>
          </w:tcPr>
          <w:p>
            <w:pPr>
              <w:rPr>
                <w:rFonts w:eastAsia="楷体" w:cs="宋体"/>
                <w:color w:val="000000"/>
                <w:sz w:val="24"/>
              </w:rPr>
            </w:pPr>
            <w:r>
              <w:rPr>
                <w:rFonts w:hint="eastAsia" w:eastAsia="楷体" w:cs="宋体"/>
                <w:color w:val="000000"/>
                <w:sz w:val="24"/>
              </w:rPr>
              <w:t>1.带*号课程为必修课程，其他为任选课程。实践环节各项任务要求无条件全部完成。</w:t>
            </w:r>
          </w:p>
          <w:p>
            <w:pPr>
              <w:rPr>
                <w:rFonts w:eastAsia="楷体" w:cs="宋体"/>
                <w:color w:val="000000"/>
                <w:sz w:val="24"/>
              </w:rPr>
            </w:pPr>
            <w:r>
              <w:rPr>
                <w:rFonts w:hint="eastAsia" w:eastAsia="楷体" w:cs="宋体"/>
                <w:color w:val="000000"/>
                <w:sz w:val="24"/>
              </w:rPr>
              <w:t>2.专业选修课参加学习者</w:t>
            </w:r>
            <w:r>
              <w:rPr>
                <w:rFonts w:hint="eastAsia" w:cs="宋体"/>
                <w:color w:val="000000"/>
                <w:sz w:val="24"/>
              </w:rPr>
              <w:t>≧</w:t>
            </w:r>
            <w:r>
              <w:rPr>
                <w:color w:val="000000"/>
                <w:sz w:val="24"/>
              </w:rPr>
              <w:t>15</w:t>
            </w:r>
            <w:r>
              <w:rPr>
                <w:rFonts w:hint="eastAsia" w:eastAsia="楷体" w:cs="宋体"/>
                <w:color w:val="000000"/>
                <w:sz w:val="24"/>
              </w:rPr>
              <w:t>人方可开课。</w:t>
            </w:r>
          </w:p>
          <w:p>
            <w:pPr>
              <w:rPr>
                <w:rFonts w:eastAsia="楷体" w:cs="宋体"/>
                <w:color w:val="000000"/>
                <w:sz w:val="24"/>
              </w:rPr>
            </w:pPr>
            <w:r>
              <w:rPr>
                <w:rFonts w:hint="eastAsia" w:eastAsia="楷体" w:cs="宋体"/>
                <w:color w:val="000000"/>
                <w:sz w:val="24"/>
              </w:rPr>
              <w:t>3.上表中的专业课程若分了段，必须将所有课程段修完且成绩合格方能获得相应学分，不可随意取舍某一门课的任意学习阶段，修了（一），必须修（二）（三），否则该课程学习成绩无效。</w:t>
            </w:r>
          </w:p>
          <w:p>
            <w:pPr>
              <w:rPr>
                <w:rFonts w:eastAsia="楷体" w:cs="宋体"/>
                <w:color w:val="000000"/>
                <w:sz w:val="24"/>
              </w:rPr>
            </w:pPr>
            <w:r>
              <w:rPr>
                <w:rFonts w:hint="eastAsia" w:eastAsia="楷体" w:cs="宋体"/>
                <w:color w:val="000000"/>
                <w:sz w:val="24"/>
              </w:rPr>
              <w:t>4.同等学力或跨专业考生，入学后至少补修2门本学科专业的本科主干课程，成绩需合格，但不计入学分。</w:t>
            </w:r>
          </w:p>
          <w:p>
            <w:pPr>
              <w:rPr>
                <w:rFonts w:eastAsia="楷体"/>
                <w:color w:val="000000"/>
                <w:szCs w:val="21"/>
              </w:rPr>
            </w:pPr>
            <w:r>
              <w:rPr>
                <w:rFonts w:hint="eastAsia" w:eastAsia="楷体" w:cs="宋体"/>
                <w:color w:val="000000"/>
                <w:sz w:val="24"/>
              </w:rPr>
              <w:t xml:space="preserve">5.本专业研究生应积极参加国内外高校、教学科研机构，以及本校及周边院校举办的语言类以及其他相关专业的学术讲座、学术会议及专业技能培训与学习，以开阔学术视野，提高专业实践应用能力。导师在学年鉴定中应对研究生参与学术活动的表现做出客观评定。 </w:t>
            </w:r>
          </w:p>
        </w:tc>
      </w:tr>
    </w:tbl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>
      <w:pPr>
        <w:rPr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96E66"/>
    <w:rsid w:val="069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2021-12-20T08:13:00Z</dcterms:created>
  <dc:creator>WPS_1630548816</dc:creator>
  <cp:lastModifiedBy>WPS_1630548816</cp:lastModifiedBy>
  <dcterms:modified xsi:type="dcterms:W3CDTF">2021-12-20T08:13:51Z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8A6184B7BD2B4F5E8C6131AE589ADA16</vt:lpwstr>
  </property>
</Properties>
</file>